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6B27" w14:textId="53B8E964" w:rsidR="00CC7B6B" w:rsidRPr="001009C8" w:rsidRDefault="00EC31C5" w:rsidP="00E1025C">
      <w:pPr>
        <w:pStyle w:val="berschrift1"/>
        <w:spacing w:before="0" w:line="240" w:lineRule="auto"/>
        <w:rPr>
          <w:rFonts w:cstheme="majorHAnsi"/>
          <w:sz w:val="32"/>
          <w:szCs w:val="32"/>
          <w:u w:val="single"/>
          <w:lang w:val="en-GB"/>
        </w:rPr>
      </w:pPr>
      <w:r w:rsidRPr="007C336E">
        <w:rPr>
          <w:rFonts w:eastAsia="Times New Roman" w:cstheme="majorHAnsi"/>
          <w:b w:val="0"/>
          <w:bCs w:val="0"/>
          <w:noProof/>
          <w:color w:val="000000"/>
          <w:kern w:val="36"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75A4DDF" wp14:editId="314897FA">
            <wp:simplePos x="0" y="0"/>
            <wp:positionH relativeFrom="column">
              <wp:posOffset>-57912</wp:posOffset>
            </wp:positionH>
            <wp:positionV relativeFrom="paragraph">
              <wp:posOffset>-926592</wp:posOffset>
            </wp:positionV>
            <wp:extent cx="6705261" cy="10057892"/>
            <wp:effectExtent l="0" t="0" r="635" b="635"/>
            <wp:wrapNone/>
            <wp:docPr id="2013860536" name="Grafik 2" descr="Ein Bild, das Entwurf, Zeichnung, Lineart, Säugeti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90018" name="Grafik 2" descr="Ein Bild, das Entwurf, Zeichnung, Lineart, Säugetier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911" cy="1006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9C8">
        <w:rPr>
          <w:rFonts w:cstheme="majorHAnsi"/>
          <w:sz w:val="32"/>
          <w:szCs w:val="32"/>
          <w:u w:val="single"/>
          <w:lang w:val="en-GB"/>
        </w:rPr>
        <w:t>Animal Fibre Working Group – Concept Note (IYRP 2026)</w:t>
      </w:r>
    </w:p>
    <w:p w14:paraId="44BB9F34" w14:textId="719067EF" w:rsidR="00E1025C" w:rsidRPr="001009C8" w:rsidRDefault="00E1025C" w:rsidP="00E1025C">
      <w:pPr>
        <w:spacing w:after="0" w:line="240" w:lineRule="auto"/>
        <w:rPr>
          <w:lang w:val="en-GB"/>
        </w:rPr>
      </w:pPr>
    </w:p>
    <w:p w14:paraId="2B566F84" w14:textId="4CF4EF44" w:rsidR="00CC7B6B" w:rsidRPr="001009C8" w:rsidRDefault="00EC31C5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Pastoral fibres – wool, alpaca, cashmere, yak, mohair, vicuña, camel and llama – are more than commodities. They are threads that connect herders, women, artisans and communities. While meat and milk often dominate attention, fibres create wider, long-lasting impacts: jobs, culture, biodiversity and sustainable landscapes.</w:t>
      </w:r>
    </w:p>
    <w:p w14:paraId="0F8F7191" w14:textId="40E9FE67" w:rsidR="00E1025C" w:rsidRPr="001009C8" w:rsidRDefault="00E1025C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2E00E535" w14:textId="71E391E8" w:rsidR="00CC7B6B" w:rsidRPr="001009C8" w:rsidRDefault="00EC31C5" w:rsidP="00E1025C">
      <w:pPr>
        <w:pStyle w:val="berschrift2"/>
        <w:spacing w:before="0" w:line="240" w:lineRule="auto"/>
        <w:rPr>
          <w:rFonts w:cstheme="majorHAnsi"/>
          <w:sz w:val="24"/>
          <w:szCs w:val="24"/>
          <w:u w:val="single"/>
          <w:lang w:val="en-GB"/>
        </w:rPr>
      </w:pPr>
      <w:r w:rsidRPr="001009C8">
        <w:rPr>
          <w:rFonts w:cstheme="majorHAnsi"/>
          <w:sz w:val="24"/>
          <w:szCs w:val="24"/>
          <w:u w:val="single"/>
          <w:lang w:val="en-GB"/>
        </w:rPr>
        <w:t>Why Fibres Matter</w:t>
      </w:r>
    </w:p>
    <w:p w14:paraId="7F03EF33" w14:textId="62EA51A8" w:rsidR="00E1025C" w:rsidRPr="001009C8" w:rsidRDefault="00E1025C" w:rsidP="00E1025C">
      <w:pPr>
        <w:spacing w:after="0" w:line="240" w:lineRule="auto"/>
        <w:rPr>
          <w:lang w:val="en-GB"/>
        </w:rPr>
      </w:pPr>
    </w:p>
    <w:p w14:paraId="7365FC51" w14:textId="4D1463CB" w:rsidR="00CC7B6B" w:rsidRPr="001009C8" w:rsidRDefault="00EC31C5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Fibre economies multiply value far beyond direct sales. Women lead in processing, artisans transform fibres into products, and entire villages benefit. Recognising fibres alongside meat and milk gives a fuller picture of pastoral livelihoods.</w:t>
      </w:r>
    </w:p>
    <w:p w14:paraId="76CD4881" w14:textId="3BC9490D" w:rsidR="00E1025C" w:rsidRPr="001009C8" w:rsidRDefault="00E1025C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2A8D9601" w14:textId="44972134" w:rsidR="00CC7B6B" w:rsidRPr="001009C8" w:rsidRDefault="00EC31C5" w:rsidP="00E1025C">
      <w:pPr>
        <w:pStyle w:val="berschrift2"/>
        <w:spacing w:before="0" w:line="240" w:lineRule="auto"/>
        <w:rPr>
          <w:rFonts w:cstheme="majorHAnsi"/>
          <w:sz w:val="24"/>
          <w:szCs w:val="24"/>
          <w:u w:val="single"/>
          <w:lang w:val="en-GB"/>
        </w:rPr>
      </w:pPr>
      <w:r w:rsidRPr="001009C8">
        <w:rPr>
          <w:rFonts w:cstheme="majorHAnsi"/>
          <w:sz w:val="24"/>
          <w:szCs w:val="24"/>
          <w:u w:val="single"/>
          <w:lang w:val="en-GB"/>
        </w:rPr>
        <w:t>The Challenges</w:t>
      </w:r>
    </w:p>
    <w:p w14:paraId="5134962A" w14:textId="25DF75F0" w:rsidR="00E1025C" w:rsidRPr="001009C8" w:rsidRDefault="00E1025C" w:rsidP="00E1025C">
      <w:pPr>
        <w:spacing w:after="0" w:line="240" w:lineRule="auto"/>
        <w:rPr>
          <w:lang w:val="en-GB"/>
        </w:rPr>
      </w:pPr>
    </w:p>
    <w:p w14:paraId="14C07178" w14:textId="6EAF15D1" w:rsidR="00CC7B6B" w:rsidRPr="001009C8" w:rsidRDefault="00EC31C5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Natural fibres face strong competition from synthetics, myths about grazing, </w:t>
      </w:r>
      <w:r w:rsidR="002311D8"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animal welfare, </w:t>
      </w:r>
      <w:r w:rsidRPr="001009C8">
        <w:rPr>
          <w:rFonts w:asciiTheme="majorHAnsi" w:hAnsiTheme="majorHAnsi" w:cstheme="majorHAnsi"/>
          <w:sz w:val="24"/>
          <w:szCs w:val="24"/>
          <w:lang w:val="en-GB"/>
        </w:rPr>
        <w:t>and declining market value. Policies and tools like Life Cycle Assessment (LCA) often ignore the benefits of rangelands</w:t>
      </w:r>
      <w:r w:rsidR="002311D8" w:rsidRPr="001009C8">
        <w:rPr>
          <w:rFonts w:asciiTheme="majorHAnsi" w:hAnsiTheme="majorHAnsi" w:cstheme="majorHAnsi"/>
          <w:sz w:val="24"/>
          <w:szCs w:val="24"/>
          <w:lang w:val="en-GB"/>
        </w:rPr>
        <w:t>, the importance of well managed grazing for our cultural land</w:t>
      </w:r>
      <w:r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 and bias against natural fibres. New legislation, such as the EU’s Green Claims Directive, could reshape markets – but may also create risks if pastoral voices are not heard.</w:t>
      </w:r>
    </w:p>
    <w:p w14:paraId="4EE0868E" w14:textId="5CC19D99" w:rsidR="00E1025C" w:rsidRPr="001009C8" w:rsidRDefault="00E1025C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35CDB88C" w14:textId="0C29CE56" w:rsidR="00CC7B6B" w:rsidRPr="001009C8" w:rsidRDefault="00EC31C5" w:rsidP="00E1025C">
      <w:pPr>
        <w:pStyle w:val="berschrift2"/>
        <w:spacing w:before="0" w:line="240" w:lineRule="auto"/>
        <w:rPr>
          <w:rFonts w:cstheme="majorHAnsi"/>
          <w:sz w:val="24"/>
          <w:szCs w:val="24"/>
          <w:u w:val="single"/>
          <w:lang w:val="en-GB"/>
        </w:rPr>
      </w:pPr>
      <w:r w:rsidRPr="001009C8">
        <w:rPr>
          <w:rFonts w:cstheme="majorHAnsi"/>
          <w:sz w:val="24"/>
          <w:szCs w:val="24"/>
          <w:u w:val="single"/>
          <w:lang w:val="en-GB"/>
        </w:rPr>
        <w:t>Our Objectives</w:t>
      </w:r>
    </w:p>
    <w:p w14:paraId="341BC933" w14:textId="3F159CEF" w:rsidR="00E1025C" w:rsidRPr="001009C8" w:rsidRDefault="00E1025C" w:rsidP="00E1025C">
      <w:pPr>
        <w:rPr>
          <w:lang w:val="en-GB"/>
        </w:rPr>
      </w:pPr>
    </w:p>
    <w:p w14:paraId="3BBCD5CF" w14:textId="73B0A578" w:rsidR="00E1025C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Highlight opportunities in fibre value chains and promote innovation that blends pastoral wisdom with modern technology.</w:t>
      </w:r>
    </w:p>
    <w:p w14:paraId="44229D12" w14:textId="77777777" w:rsidR="001009C8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Show how fibres complement meat and milk, multiplying benefits for communities</w:t>
      </w:r>
      <w:r w:rsidR="001009C8" w:rsidRPr="001009C8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5F76BC61" w14:textId="79D06E6F" w:rsidR="001009C8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Put rangelands at the centre of sustainability arguments.</w:t>
      </w:r>
      <w:r w:rsidRPr="001009C8">
        <w:rPr>
          <w:rFonts w:asciiTheme="majorHAnsi" w:hAnsiTheme="majorHAnsi" w:cstheme="majorHAnsi"/>
          <w:sz w:val="24"/>
          <w:szCs w:val="24"/>
          <w:lang w:val="en-GB"/>
        </w:rPr>
        <w:br/>
        <w:t>Engage with policy and legislation to ensure fair recognition of natural fibres.</w:t>
      </w:r>
    </w:p>
    <w:p w14:paraId="6F683295" w14:textId="65D912F3" w:rsidR="001009C8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Challenge myths by sharing evidence of fibre’s cultural, economic and ecological value.</w:t>
      </w:r>
      <w:r w:rsidRPr="00EC31C5">
        <w:rPr>
          <w:rFonts w:eastAsia="Times New Roman" w:cstheme="majorHAnsi"/>
          <w:b/>
          <w:bCs/>
          <w:noProof/>
          <w:color w:val="000000"/>
          <w:kern w:val="36"/>
          <w:sz w:val="24"/>
          <w:szCs w:val="24"/>
          <w:lang w:val="de-DE" w:eastAsia="de-DE"/>
        </w:rPr>
        <w:t xml:space="preserve"> </w:t>
      </w:r>
    </w:p>
    <w:p w14:paraId="421BE88F" w14:textId="43B57EDB" w:rsidR="001009C8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Represent diverse regional perspectives, from the Andes </w:t>
      </w:r>
      <w:r w:rsidR="002311D8"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via Australia </w:t>
      </w:r>
      <w:r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to Africa and </w:t>
      </w:r>
      <w:r w:rsidR="002311D8" w:rsidRPr="001009C8">
        <w:rPr>
          <w:rFonts w:asciiTheme="majorHAnsi" w:hAnsiTheme="majorHAnsi" w:cstheme="majorHAnsi"/>
          <w:sz w:val="24"/>
          <w:szCs w:val="24"/>
          <w:lang w:val="en-GB"/>
        </w:rPr>
        <w:t xml:space="preserve">from North America via Europe to </w:t>
      </w:r>
      <w:r w:rsidRPr="001009C8">
        <w:rPr>
          <w:rFonts w:asciiTheme="majorHAnsi" w:hAnsiTheme="majorHAnsi" w:cstheme="majorHAnsi"/>
          <w:sz w:val="24"/>
          <w:szCs w:val="24"/>
          <w:lang w:val="en-GB"/>
        </w:rPr>
        <w:t>Asia.</w:t>
      </w:r>
    </w:p>
    <w:p w14:paraId="5F5CCB7E" w14:textId="66AAD0DF" w:rsidR="00E1025C" w:rsidRPr="001009C8" w:rsidRDefault="00EC31C5" w:rsidP="001009C8">
      <w:pPr>
        <w:pStyle w:val="Listenabsatz"/>
        <w:numPr>
          <w:ilvl w:val="0"/>
          <w:numId w:val="11"/>
        </w:numPr>
        <w:spacing w:after="0" w:line="240" w:lineRule="auto"/>
        <w:ind w:left="426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Contribute actively to IYRP 2026 global activities and partnerships.</w:t>
      </w:r>
    </w:p>
    <w:p w14:paraId="167E5016" w14:textId="77777777" w:rsidR="00E1025C" w:rsidRPr="001009C8" w:rsidRDefault="00E1025C" w:rsidP="00E1025C">
      <w:pPr>
        <w:pStyle w:val="berschrift2"/>
        <w:spacing w:before="0" w:line="240" w:lineRule="auto"/>
        <w:rPr>
          <w:rFonts w:cstheme="majorHAnsi"/>
          <w:sz w:val="24"/>
          <w:szCs w:val="24"/>
          <w:lang w:val="en-GB"/>
        </w:rPr>
      </w:pPr>
    </w:p>
    <w:p w14:paraId="64B71025" w14:textId="488AF8F9" w:rsidR="00CC7B6B" w:rsidRPr="001009C8" w:rsidRDefault="00EC31C5" w:rsidP="00E1025C">
      <w:pPr>
        <w:pStyle w:val="berschrift2"/>
        <w:spacing w:before="0" w:line="240" w:lineRule="auto"/>
        <w:rPr>
          <w:rFonts w:cstheme="majorHAnsi"/>
          <w:sz w:val="24"/>
          <w:szCs w:val="24"/>
          <w:u w:val="single"/>
          <w:lang w:val="en-GB"/>
        </w:rPr>
      </w:pPr>
      <w:r w:rsidRPr="001009C8">
        <w:rPr>
          <w:rFonts w:cstheme="majorHAnsi"/>
          <w:sz w:val="24"/>
          <w:szCs w:val="24"/>
          <w:u w:val="single"/>
          <w:lang w:val="en-GB"/>
        </w:rPr>
        <w:t>Join Us</w:t>
      </w:r>
    </w:p>
    <w:p w14:paraId="6B38D26D" w14:textId="77777777" w:rsidR="00E1025C" w:rsidRPr="001009C8" w:rsidRDefault="00E1025C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5DF33E6C" w14:textId="06D3177D" w:rsidR="00CC7B6B" w:rsidRDefault="00EC31C5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1009C8">
        <w:rPr>
          <w:rFonts w:asciiTheme="majorHAnsi" w:hAnsiTheme="majorHAnsi" w:cstheme="majorHAnsi"/>
          <w:sz w:val="24"/>
          <w:szCs w:val="24"/>
          <w:lang w:val="en-GB"/>
        </w:rPr>
        <w:t>We invite pastoralists, researchers, fibre specialists, NGOs and policy actors to collaborate. Together, we can make natural fibres visible, valued and vibrant – for pastoral communities, markets, and the planet.</w:t>
      </w:r>
    </w:p>
    <w:p w14:paraId="1B6CAB85" w14:textId="77777777" w:rsidR="00AD4FD4" w:rsidRDefault="00AD4FD4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5C901E72" w14:textId="77777777" w:rsidR="00C0570F" w:rsidRDefault="00C0570F" w:rsidP="00E1025C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719B3B33" w14:textId="3449BF0F" w:rsidR="00E1025C" w:rsidRPr="00CE4AD3" w:rsidRDefault="00AD4FD4" w:rsidP="00CE4AD3">
      <w:pPr>
        <w:pStyle w:val="berschrift2"/>
        <w:spacing w:before="0" w:line="240" w:lineRule="auto"/>
        <w:rPr>
          <w:rFonts w:cstheme="majorHAnsi"/>
          <w:sz w:val="24"/>
          <w:szCs w:val="24"/>
          <w:u w:val="single"/>
          <w:lang w:val="en-GB"/>
        </w:rPr>
      </w:pPr>
      <w:r>
        <w:rPr>
          <w:rFonts w:cstheme="majorHAnsi"/>
          <w:sz w:val="24"/>
          <w:szCs w:val="24"/>
          <w:u w:val="single"/>
          <w:lang w:val="en-GB"/>
        </w:rPr>
        <w:t xml:space="preserve">Contact: </w:t>
      </w:r>
      <w:r w:rsidRPr="00CE4AD3">
        <w:rPr>
          <w:rFonts w:cstheme="majorHAnsi"/>
          <w:b w:val="0"/>
          <w:bCs w:val="0"/>
          <w:color w:val="000000" w:themeColor="text1"/>
          <w:sz w:val="24"/>
          <w:szCs w:val="24"/>
          <w:lang w:val="en-GB"/>
        </w:rPr>
        <w:t>Walter Aigner</w:t>
      </w:r>
      <w:r w:rsidR="00CE4AD3">
        <w:rPr>
          <w:rFonts w:cstheme="majorHAnsi"/>
          <w:b w:val="0"/>
          <w:bCs w:val="0"/>
          <w:color w:val="000000" w:themeColor="text1"/>
          <w:sz w:val="24"/>
          <w:szCs w:val="24"/>
          <w:lang w:val="en-GB"/>
        </w:rPr>
        <w:t xml:space="preserve"> </w:t>
      </w:r>
      <w:hyperlink r:id="rId7" w:history="1">
        <w:r w:rsidR="00CE4AD3" w:rsidRPr="00A8050C">
          <w:rPr>
            <w:rStyle w:val="Hyperlink"/>
            <w:rFonts w:cstheme="majorHAnsi"/>
            <w:b w:val="0"/>
            <w:bCs w:val="0"/>
            <w:sz w:val="24"/>
            <w:szCs w:val="24"/>
            <w:lang w:val="en-GB"/>
          </w:rPr>
          <w:t>mail@montiola.com</w:t>
        </w:r>
      </w:hyperlink>
      <w:r w:rsidR="00CE4AD3">
        <w:rPr>
          <w:rFonts w:cstheme="majorHAnsi"/>
          <w:b w:val="0"/>
          <w:bCs w:val="0"/>
          <w:color w:val="000000" w:themeColor="text1"/>
          <w:sz w:val="24"/>
          <w:szCs w:val="24"/>
          <w:lang w:val="en-GB"/>
        </w:rPr>
        <w:t xml:space="preserve"> </w:t>
      </w:r>
    </w:p>
    <w:sectPr w:rsidR="00E1025C" w:rsidRPr="00CE4AD3" w:rsidSect="00C0570F">
      <w:pgSz w:w="12240" w:h="15840"/>
      <w:pgMar w:top="1440" w:right="1800" w:bottom="95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D575B8"/>
    <w:multiLevelType w:val="hybridMultilevel"/>
    <w:tmpl w:val="F0C09B3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205C53"/>
    <w:multiLevelType w:val="hybridMultilevel"/>
    <w:tmpl w:val="6EC62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5159">
    <w:abstractNumId w:val="8"/>
  </w:num>
  <w:num w:numId="2" w16cid:durableId="1368413519">
    <w:abstractNumId w:val="6"/>
  </w:num>
  <w:num w:numId="3" w16cid:durableId="1823695726">
    <w:abstractNumId w:val="5"/>
  </w:num>
  <w:num w:numId="4" w16cid:durableId="2048992753">
    <w:abstractNumId w:val="4"/>
  </w:num>
  <w:num w:numId="5" w16cid:durableId="1296905732">
    <w:abstractNumId w:val="7"/>
  </w:num>
  <w:num w:numId="6" w16cid:durableId="120618945">
    <w:abstractNumId w:val="3"/>
  </w:num>
  <w:num w:numId="7" w16cid:durableId="653067167">
    <w:abstractNumId w:val="2"/>
  </w:num>
  <w:num w:numId="8" w16cid:durableId="236667858">
    <w:abstractNumId w:val="1"/>
  </w:num>
  <w:num w:numId="9" w16cid:durableId="338435237">
    <w:abstractNumId w:val="0"/>
  </w:num>
  <w:num w:numId="10" w16cid:durableId="1050769584">
    <w:abstractNumId w:val="10"/>
  </w:num>
  <w:num w:numId="11" w16cid:durableId="1196624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09C8"/>
    <w:rsid w:val="0015074B"/>
    <w:rsid w:val="002311D8"/>
    <w:rsid w:val="0029639D"/>
    <w:rsid w:val="00326F90"/>
    <w:rsid w:val="00766D7E"/>
    <w:rsid w:val="00AA1D8D"/>
    <w:rsid w:val="00AD4FD4"/>
    <w:rsid w:val="00B47730"/>
    <w:rsid w:val="00C0570F"/>
    <w:rsid w:val="00CB0664"/>
    <w:rsid w:val="00CC7B6B"/>
    <w:rsid w:val="00CE4AD3"/>
    <w:rsid w:val="00E1025C"/>
    <w:rsid w:val="00EC31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D2D02"/>
  <w14:defaultImageDpi w14:val="300"/>
  <w15:docId w15:val="{ED0C927C-0F88-674D-A487-41F82FE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CE4A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montio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Walter Aigner</cp:lastModifiedBy>
  <cp:revision>8</cp:revision>
  <dcterms:created xsi:type="dcterms:W3CDTF">2025-09-30T10:28:00Z</dcterms:created>
  <dcterms:modified xsi:type="dcterms:W3CDTF">2025-10-16T08:20:00Z</dcterms:modified>
  <cp:category/>
</cp:coreProperties>
</file>